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5D" w:rsidRPr="004D055D" w:rsidRDefault="004D055D" w:rsidP="004D055D">
      <w:pPr>
        <w:pStyle w:val="a3"/>
        <w:ind w:firstLine="709"/>
        <w:jc w:val="both"/>
        <w:rPr>
          <w:rFonts w:ascii="Times New Roman" w:hAnsi="Times New Roman" w:cs="Times New Roman"/>
          <w:b/>
        </w:rPr>
      </w:pPr>
      <w:r w:rsidRPr="004D055D">
        <w:rPr>
          <w:rFonts w:ascii="Times New Roman" w:hAnsi="Times New Roman" w:cs="Times New Roman"/>
          <w:b/>
        </w:rPr>
        <w:t>5. 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rsidR="004D055D" w:rsidRPr="004D055D" w:rsidRDefault="004D055D" w:rsidP="004D055D">
      <w:pPr>
        <w:pStyle w:val="a3"/>
        <w:ind w:firstLine="709"/>
        <w:jc w:val="both"/>
        <w:rPr>
          <w:rFonts w:ascii="Times New Roman" w:hAnsi="Times New Roman" w:cs="Times New Roman"/>
        </w:rPr>
      </w:pP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Статьей 12 Федерального закона от 25 декабря 2008 г. № 273-ФЗ «О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Круг лиц, на которых распространяется данное ограничение, установлен пунктом 1 Указа Президента Российской Федерации от 21 июля 2010 г. № 925. К ним относятся граждане, которые ранее замещали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 557.</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Период, в течение которого действует указанное ограничение, начинается со дня увольнения с федеральной государственной службы и заканчивается через два года.</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Гражданин обязан получать согласие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 xml:space="preserve">    включение должности государственной службы в соответствующий перечень должностей, предусмотренный пунктом 1 Указа Президента Российской Федерации от 21 июля 2010 г. № 925;</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 xml:space="preserve">    осуществление отдельных функций государственного управления в отношении данной организации во время прохождения государственной службы.</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В целях получения указанного согласия гражданин в порядке, установленном нормативным правовым актом соответствующего государственного органа,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 xml:space="preserve">Письменное обращение гражданина о даче согласия в соответствии с частью 1.1 статьи 12 Федерального закона комиссия обязана рассмотреть в течение семи дней со дня поступления указанного обращения в порядке, установленном Указом Президента Российской Федерации от 1 </w:t>
      </w:r>
      <w:r w:rsidRPr="004D055D">
        <w:rPr>
          <w:rFonts w:ascii="Times New Roman" w:hAnsi="Times New Roman" w:cs="Times New Roman"/>
        </w:rPr>
        <w:lastRenderedPageBreak/>
        <w:t>июня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Заседание комиссии по указанному вопросу проводится на основании абзаца второго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(далее – Положение), по итогам которого в соответствии с пунктом 24 Положения принимается одно из следующих решений:</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(работодателю) по последнему месту его службы в порядке, установленном постановлением Правительства Российской Федерации от 8 сентября 2010 г. № 700, а также о том,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Вместе с тем, приятие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или гражданско-правового договора на выполнение работ (оказание услуг), заключенного с ним.</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В пункте 4 статьи 1 Федерального закона определено,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lastRenderedPageBreak/>
        <w:t>Случаями, когда дача согласия комиссией не требуется, являются следующие ситуации:</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 xml:space="preserve">    гражданин переходит на работу по трудовому договору в другой государственный орган;</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 xml:space="preserve">    гражданин участвует в деятельности органа управления коммерческой организацией в случаях, установленных федеральным законом;</w:t>
      </w:r>
    </w:p>
    <w:p w:rsidR="004D055D" w:rsidRPr="004D055D" w:rsidRDefault="004D055D" w:rsidP="004D055D">
      <w:pPr>
        <w:pStyle w:val="a3"/>
        <w:ind w:firstLine="709"/>
        <w:jc w:val="both"/>
        <w:rPr>
          <w:rFonts w:ascii="Times New Roman" w:hAnsi="Times New Roman" w:cs="Times New Roman"/>
        </w:rPr>
      </w:pPr>
      <w:r w:rsidRPr="004D055D">
        <w:rPr>
          <w:rFonts w:ascii="Times New Roman" w:hAnsi="Times New Roman" w:cs="Times New Roman"/>
        </w:rPr>
        <w:t xml:space="preserve">    гражданин осуществлял отдельные функции государственного управления, направленные на неопределенный круг лиц в конкретной сфере, в которой функционирует организация (подготовка правовых актов и иных 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p>
    <w:p w:rsidR="00091E4F" w:rsidRPr="004D055D" w:rsidRDefault="004D055D" w:rsidP="004D055D">
      <w:pPr>
        <w:pStyle w:val="a3"/>
        <w:ind w:firstLine="709"/>
        <w:jc w:val="both"/>
        <w:rPr>
          <w:rFonts w:ascii="Times New Roman" w:hAnsi="Times New Roman" w:cs="Times New Roman"/>
        </w:rPr>
      </w:pPr>
      <w:bookmarkStart w:id="0" w:name="_GoBack"/>
      <w:bookmarkEnd w:id="0"/>
      <w:r w:rsidRPr="004D055D">
        <w:rPr>
          <w:rFonts w:ascii="Times New Roman" w:hAnsi="Times New Roman" w:cs="Times New Roman"/>
        </w:rPr>
        <w:t>Частью 6 статьи 12 Федерального закона предусмотрено, что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sectPr w:rsidR="00091E4F" w:rsidRPr="004D055D" w:rsidSect="004D055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FE" w:rsidRDefault="001A73FE" w:rsidP="004D055D">
      <w:pPr>
        <w:spacing w:after="0" w:line="240" w:lineRule="auto"/>
      </w:pPr>
      <w:r>
        <w:separator/>
      </w:r>
    </w:p>
  </w:endnote>
  <w:endnote w:type="continuationSeparator" w:id="0">
    <w:p w:rsidR="001A73FE" w:rsidRDefault="001A73FE" w:rsidP="004D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FE" w:rsidRDefault="001A73FE" w:rsidP="004D055D">
      <w:pPr>
        <w:spacing w:after="0" w:line="240" w:lineRule="auto"/>
      </w:pPr>
      <w:r>
        <w:separator/>
      </w:r>
    </w:p>
  </w:footnote>
  <w:footnote w:type="continuationSeparator" w:id="0">
    <w:p w:rsidR="001A73FE" w:rsidRDefault="001A73FE" w:rsidP="004D0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511500"/>
      <w:docPartObj>
        <w:docPartGallery w:val="Page Numbers (Top of Page)"/>
        <w:docPartUnique/>
      </w:docPartObj>
    </w:sdtPr>
    <w:sdtEndPr>
      <w:rPr>
        <w:rFonts w:ascii="Times New Roman" w:hAnsi="Times New Roman" w:cs="Times New Roman"/>
      </w:rPr>
    </w:sdtEndPr>
    <w:sdtContent>
      <w:p w:rsidR="004D055D" w:rsidRPr="004D055D" w:rsidRDefault="004D055D">
        <w:pPr>
          <w:pStyle w:val="a4"/>
          <w:jc w:val="center"/>
          <w:rPr>
            <w:rFonts w:ascii="Times New Roman" w:hAnsi="Times New Roman" w:cs="Times New Roman"/>
          </w:rPr>
        </w:pPr>
        <w:r w:rsidRPr="004D055D">
          <w:rPr>
            <w:rFonts w:ascii="Times New Roman" w:hAnsi="Times New Roman" w:cs="Times New Roman"/>
          </w:rPr>
          <w:fldChar w:fldCharType="begin"/>
        </w:r>
        <w:r w:rsidRPr="004D055D">
          <w:rPr>
            <w:rFonts w:ascii="Times New Roman" w:hAnsi="Times New Roman" w:cs="Times New Roman"/>
          </w:rPr>
          <w:instrText>PAGE   \* MERGEFORMAT</w:instrText>
        </w:r>
        <w:r w:rsidRPr="004D055D">
          <w:rPr>
            <w:rFonts w:ascii="Times New Roman" w:hAnsi="Times New Roman" w:cs="Times New Roman"/>
          </w:rPr>
          <w:fldChar w:fldCharType="separate"/>
        </w:r>
        <w:r>
          <w:rPr>
            <w:rFonts w:ascii="Times New Roman" w:hAnsi="Times New Roman" w:cs="Times New Roman"/>
            <w:noProof/>
          </w:rPr>
          <w:t>3</w:t>
        </w:r>
        <w:r w:rsidRPr="004D055D">
          <w:rPr>
            <w:rFonts w:ascii="Times New Roman" w:hAnsi="Times New Roman" w:cs="Times New Roman"/>
          </w:rPr>
          <w:fldChar w:fldCharType="end"/>
        </w:r>
      </w:p>
    </w:sdtContent>
  </w:sdt>
  <w:p w:rsidR="004D055D" w:rsidRDefault="004D055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1F"/>
    <w:rsid w:val="001A73FE"/>
    <w:rsid w:val="00393B1F"/>
    <w:rsid w:val="004D055D"/>
    <w:rsid w:val="00533197"/>
    <w:rsid w:val="00D1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55D"/>
    <w:pPr>
      <w:spacing w:after="0" w:line="240" w:lineRule="auto"/>
    </w:pPr>
  </w:style>
  <w:style w:type="paragraph" w:styleId="a4">
    <w:name w:val="header"/>
    <w:basedOn w:val="a"/>
    <w:link w:val="a5"/>
    <w:uiPriority w:val="99"/>
    <w:unhideWhenUsed/>
    <w:rsid w:val="004D05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055D"/>
  </w:style>
  <w:style w:type="paragraph" w:styleId="a6">
    <w:name w:val="footer"/>
    <w:basedOn w:val="a"/>
    <w:link w:val="a7"/>
    <w:uiPriority w:val="99"/>
    <w:unhideWhenUsed/>
    <w:rsid w:val="004D05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55D"/>
    <w:pPr>
      <w:spacing w:after="0" w:line="240" w:lineRule="auto"/>
    </w:pPr>
  </w:style>
  <w:style w:type="paragraph" w:styleId="a4">
    <w:name w:val="header"/>
    <w:basedOn w:val="a"/>
    <w:link w:val="a5"/>
    <w:uiPriority w:val="99"/>
    <w:unhideWhenUsed/>
    <w:rsid w:val="004D05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055D"/>
  </w:style>
  <w:style w:type="paragraph" w:styleId="a6">
    <w:name w:val="footer"/>
    <w:basedOn w:val="a"/>
    <w:link w:val="a7"/>
    <w:uiPriority w:val="99"/>
    <w:unhideWhenUsed/>
    <w:rsid w:val="004D05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 Владимир Олегович</dc:creator>
  <cp:keywords/>
  <dc:description/>
  <cp:lastModifiedBy>Карпов Владимир Олегович</cp:lastModifiedBy>
  <cp:revision>3</cp:revision>
  <dcterms:created xsi:type="dcterms:W3CDTF">2020-08-07T14:38:00Z</dcterms:created>
  <dcterms:modified xsi:type="dcterms:W3CDTF">2020-08-07T14:39:00Z</dcterms:modified>
</cp:coreProperties>
</file>